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782A6" w14:textId="70F0E20C" w:rsidR="00862156" w:rsidRDefault="00862156">
      <w:pPr>
        <w:rPr>
          <w:b/>
          <w:bCs/>
          <w:sz w:val="36"/>
          <w:szCs w:val="36"/>
          <w:u w:val="single"/>
        </w:rPr>
      </w:pPr>
      <w:r w:rsidRPr="00754B90">
        <w:rPr>
          <w:b/>
          <w:bCs/>
          <w:sz w:val="36"/>
          <w:szCs w:val="36"/>
          <w:u w:val="single"/>
        </w:rPr>
        <w:t>Paediatric Referral Refinement Scheme (PRR)</w:t>
      </w:r>
    </w:p>
    <w:p w14:paraId="641CD9F9" w14:textId="60491C98" w:rsidR="009503FC" w:rsidRDefault="009503FC">
      <w:pPr>
        <w:rPr>
          <w:b/>
          <w:bCs/>
          <w:sz w:val="28"/>
          <w:szCs w:val="28"/>
          <w:u w:val="single"/>
        </w:rPr>
      </w:pPr>
      <w:r w:rsidRPr="009503FC">
        <w:rPr>
          <w:b/>
          <w:bCs/>
          <w:sz w:val="28"/>
          <w:szCs w:val="28"/>
          <w:u w:val="single"/>
        </w:rPr>
        <w:t>August 2021</w:t>
      </w:r>
    </w:p>
    <w:p w14:paraId="6FDADD3D" w14:textId="2E68FFC0" w:rsidR="00027BC4" w:rsidRDefault="00027BC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There are 6 phases of the service:</w:t>
      </w:r>
    </w:p>
    <w:p w14:paraId="1BB03BC9" w14:textId="682E9BAB" w:rsidR="00027BC4" w:rsidRPr="00027BC4" w:rsidRDefault="00027BC4" w:rsidP="00027BC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contextualSpacing w:val="0"/>
        <w:rPr>
          <w:rFonts w:ascii="Calibri" w:eastAsia="Times New Roman" w:hAnsi="Calibri" w:cs="Calibri"/>
          <w:color w:val="000000"/>
          <w:lang w:eastAsia="en-GB"/>
        </w:rPr>
      </w:pPr>
      <w:r w:rsidRPr="00027BC4">
        <w:rPr>
          <w:rFonts w:ascii="Calibri" w:eastAsia="Times New Roman" w:hAnsi="Calibri" w:cs="Calibri"/>
          <w:color w:val="000000"/>
          <w:lang w:eastAsia="en-GB"/>
        </w:rPr>
        <w:t>Input of details by screener</w:t>
      </w:r>
    </w:p>
    <w:p w14:paraId="52F23CB3" w14:textId="77777777" w:rsidR="00027BC4" w:rsidRPr="00027BC4" w:rsidRDefault="00027BC4" w:rsidP="00027BC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027BC4">
        <w:rPr>
          <w:rFonts w:ascii="Calibri" w:eastAsia="Times New Roman" w:hAnsi="Calibri" w:cs="Calibri"/>
          <w:color w:val="000000"/>
          <w:lang w:eastAsia="en-GB"/>
        </w:rPr>
        <w:t>Referral module for POS admin team to allocate to practice</w:t>
      </w:r>
    </w:p>
    <w:p w14:paraId="320F7F16" w14:textId="3C1A76C6" w:rsidR="00027BC4" w:rsidRPr="00027BC4" w:rsidRDefault="00027BC4" w:rsidP="00027BC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027BC4">
        <w:rPr>
          <w:rFonts w:ascii="Calibri" w:eastAsia="Times New Roman" w:hAnsi="Calibri" w:cs="Calibri"/>
          <w:color w:val="000000"/>
          <w:lang w:eastAsia="en-GB"/>
        </w:rPr>
        <w:t>Acceptance or rejection by practice</w:t>
      </w:r>
    </w:p>
    <w:p w14:paraId="178B4397" w14:textId="77777777" w:rsidR="00027BC4" w:rsidRPr="00027BC4" w:rsidRDefault="00027BC4" w:rsidP="00027BC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027BC4">
        <w:rPr>
          <w:rFonts w:ascii="Calibri" w:eastAsia="Times New Roman" w:hAnsi="Calibri" w:cs="Calibri"/>
          <w:color w:val="000000"/>
          <w:lang w:eastAsia="en-GB"/>
        </w:rPr>
        <w:t>1</w:t>
      </w:r>
      <w:r w:rsidRPr="00027BC4">
        <w:rPr>
          <w:rFonts w:ascii="Calibri" w:eastAsia="Times New Roman" w:hAnsi="Calibri" w:cs="Calibri"/>
          <w:color w:val="000000"/>
          <w:vertAlign w:val="superscript"/>
          <w:lang w:eastAsia="en-GB"/>
        </w:rPr>
        <w:t>st</w:t>
      </w:r>
      <w:r w:rsidRPr="00027BC4">
        <w:rPr>
          <w:rFonts w:ascii="Calibri" w:eastAsia="Times New Roman" w:hAnsi="Calibri" w:cs="Calibri"/>
          <w:color w:val="000000"/>
          <w:lang w:eastAsia="en-GB"/>
        </w:rPr>
        <w:t> appointment</w:t>
      </w:r>
    </w:p>
    <w:p w14:paraId="54ACAE1A" w14:textId="77777777" w:rsidR="00027BC4" w:rsidRPr="00027BC4" w:rsidRDefault="00027BC4" w:rsidP="00027BC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027BC4">
        <w:rPr>
          <w:rFonts w:ascii="Calibri" w:eastAsia="Times New Roman" w:hAnsi="Calibri" w:cs="Calibri"/>
          <w:color w:val="000000"/>
          <w:lang w:eastAsia="en-GB"/>
        </w:rPr>
        <w:t>6 week phone check (if follow-up required)</w:t>
      </w:r>
    </w:p>
    <w:p w14:paraId="7FA008C3" w14:textId="77777777" w:rsidR="00027BC4" w:rsidRPr="00027BC4" w:rsidRDefault="00027BC4" w:rsidP="00027BC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027BC4">
        <w:rPr>
          <w:rFonts w:ascii="Calibri" w:eastAsia="Times New Roman" w:hAnsi="Calibri" w:cs="Calibri"/>
          <w:color w:val="000000"/>
          <w:lang w:eastAsia="en-GB"/>
        </w:rPr>
        <w:t>12-16 week check (if follow-up required)</w:t>
      </w:r>
    </w:p>
    <w:p w14:paraId="0D2842E4" w14:textId="397D2191" w:rsidR="00027BC4" w:rsidRPr="009503FC" w:rsidRDefault="00027BC4">
      <w:pPr>
        <w:rPr>
          <w:b/>
          <w:bCs/>
          <w:sz w:val="28"/>
          <w:szCs w:val="28"/>
          <w:u w:val="single"/>
        </w:rPr>
      </w:pPr>
    </w:p>
    <w:p w14:paraId="7EC7F139" w14:textId="295F805F" w:rsidR="00EF4ACD" w:rsidRDefault="009503FC">
      <w:r>
        <w:t xml:space="preserve">All children in reception will have visual screening performed by the HCP.  The </w:t>
      </w:r>
      <w:r w:rsidR="00027BC4">
        <w:t>possible outcomes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3"/>
        <w:gridCol w:w="3279"/>
        <w:gridCol w:w="2991"/>
      </w:tblGrid>
      <w:tr w:rsidR="00EF4ACD" w:rsidRPr="00EF4ACD" w14:paraId="010184DD" w14:textId="77777777" w:rsidTr="00EF4ACD">
        <w:trPr>
          <w:trHeight w:val="620"/>
        </w:trPr>
        <w:tc>
          <w:tcPr>
            <w:tcW w:w="2313" w:type="dxa"/>
            <w:hideMark/>
          </w:tcPr>
          <w:p w14:paraId="1FF59DAD" w14:textId="77777777" w:rsidR="00EF4ACD" w:rsidRPr="00EF4ACD" w:rsidRDefault="00EF4ACD" w:rsidP="00EF4AC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4AC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1 </w:t>
            </w:r>
          </w:p>
        </w:tc>
        <w:tc>
          <w:tcPr>
            <w:tcW w:w="3279" w:type="dxa"/>
            <w:hideMark/>
          </w:tcPr>
          <w:p w14:paraId="2CAEAF9E" w14:textId="77777777" w:rsidR="00EF4ACD" w:rsidRPr="00EF4ACD" w:rsidRDefault="00EF4ACD" w:rsidP="00EF4A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4AC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Discharged </w:t>
            </w:r>
          </w:p>
        </w:tc>
        <w:tc>
          <w:tcPr>
            <w:tcW w:w="2991" w:type="dxa"/>
            <w:hideMark/>
          </w:tcPr>
          <w:p w14:paraId="44941BF6" w14:textId="77777777" w:rsidR="00EF4ACD" w:rsidRPr="00EF4ACD" w:rsidRDefault="00EF4ACD" w:rsidP="00EF4A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4ACD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 </w:t>
            </w:r>
            <w:r w:rsidRPr="00EF4AC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Vision is 0.200 or better in both eyes </w:t>
            </w:r>
          </w:p>
        </w:tc>
      </w:tr>
      <w:tr w:rsidR="00EF4ACD" w:rsidRPr="00EF4ACD" w14:paraId="1F61EA03" w14:textId="77777777" w:rsidTr="00EF4ACD">
        <w:trPr>
          <w:trHeight w:val="1133"/>
        </w:trPr>
        <w:tc>
          <w:tcPr>
            <w:tcW w:w="2313" w:type="dxa"/>
            <w:hideMark/>
          </w:tcPr>
          <w:p w14:paraId="3252B341" w14:textId="77777777" w:rsidR="00EF4ACD" w:rsidRPr="00EF4ACD" w:rsidRDefault="00EF4ACD" w:rsidP="00EF4AC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4AC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2 </w:t>
            </w:r>
          </w:p>
        </w:tc>
        <w:tc>
          <w:tcPr>
            <w:tcW w:w="3279" w:type="dxa"/>
            <w:hideMark/>
          </w:tcPr>
          <w:p w14:paraId="29B39B75" w14:textId="77777777" w:rsidR="00EF4ACD" w:rsidRPr="00EF4ACD" w:rsidRDefault="00EF4ACD" w:rsidP="00EF4A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4AC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Sent to PRR </w:t>
            </w:r>
          </w:p>
        </w:tc>
        <w:tc>
          <w:tcPr>
            <w:tcW w:w="2991" w:type="dxa"/>
            <w:hideMark/>
          </w:tcPr>
          <w:p w14:paraId="6A5FAA7C" w14:textId="77777777" w:rsidR="00EF4ACD" w:rsidRPr="00EF4ACD" w:rsidRDefault="00EF4ACD" w:rsidP="00EF4A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4AC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Vision is equal to or better than 0.400 with less than 0.200 difference between the eyes </w:t>
            </w:r>
          </w:p>
          <w:p w14:paraId="731C4A79" w14:textId="4F6A36DD" w:rsidR="00EF4ACD" w:rsidRPr="00EF4ACD" w:rsidRDefault="00EF4ACD" w:rsidP="00EF4A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4AC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(In Lewisham if a px has RE 0.1 and LE 0.3 </w:t>
            </w:r>
            <w:r w:rsidR="000162E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or vice versa, </w:t>
            </w:r>
            <w:r w:rsidRPr="00EF4AC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refer to PRR)</w:t>
            </w:r>
          </w:p>
        </w:tc>
      </w:tr>
      <w:tr w:rsidR="00EF4ACD" w:rsidRPr="00EF4ACD" w14:paraId="1DF937CD" w14:textId="77777777" w:rsidTr="00EF4ACD">
        <w:trPr>
          <w:trHeight w:val="939"/>
        </w:trPr>
        <w:tc>
          <w:tcPr>
            <w:tcW w:w="2313" w:type="dxa"/>
            <w:hideMark/>
          </w:tcPr>
          <w:p w14:paraId="0A5B37DB" w14:textId="77777777" w:rsidR="00EF4ACD" w:rsidRPr="00EF4ACD" w:rsidRDefault="00EF4ACD" w:rsidP="00EF4AC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4AC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3 </w:t>
            </w:r>
          </w:p>
        </w:tc>
        <w:tc>
          <w:tcPr>
            <w:tcW w:w="3279" w:type="dxa"/>
            <w:hideMark/>
          </w:tcPr>
          <w:p w14:paraId="687A79F7" w14:textId="77777777" w:rsidR="00EF4ACD" w:rsidRPr="00EF4ACD" w:rsidRDefault="00EF4ACD" w:rsidP="00EF4A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4AC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Referred direct to HES/Orthoptic team </w:t>
            </w:r>
          </w:p>
        </w:tc>
        <w:tc>
          <w:tcPr>
            <w:tcW w:w="2991" w:type="dxa"/>
            <w:hideMark/>
          </w:tcPr>
          <w:p w14:paraId="3DA5D56B" w14:textId="77777777" w:rsidR="00EF4ACD" w:rsidRPr="00EF4ACD" w:rsidRDefault="00EF4ACD" w:rsidP="00EF4A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4AC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0.425 or worse and equal to more than 0.200 difference between the eyes </w:t>
            </w:r>
          </w:p>
        </w:tc>
      </w:tr>
    </w:tbl>
    <w:p w14:paraId="0763A0C2" w14:textId="141ADBD7" w:rsidR="009503FC" w:rsidRDefault="009503FC">
      <w:pPr>
        <w:rPr>
          <w:b/>
          <w:bCs/>
        </w:rPr>
      </w:pPr>
    </w:p>
    <w:p w14:paraId="657084C5" w14:textId="7632C430" w:rsidR="009503FC" w:rsidRDefault="009503FC">
      <w:pPr>
        <w:rPr>
          <w:b/>
          <w:bCs/>
        </w:rPr>
      </w:pPr>
      <w:r>
        <w:rPr>
          <w:b/>
          <w:bCs/>
        </w:rPr>
        <w:t>Only the children in group 2 will have their details uploaded to Pharmoutcomes</w:t>
      </w:r>
    </w:p>
    <w:p w14:paraId="05F5EE53" w14:textId="4FCC7528" w:rsidR="00862156" w:rsidRPr="009503FC" w:rsidRDefault="009503FC">
      <w:pPr>
        <w:rPr>
          <w:b/>
          <w:bCs/>
        </w:rPr>
      </w:pPr>
      <w:r>
        <w:rPr>
          <w:b/>
          <w:bCs/>
        </w:rPr>
        <w:t xml:space="preserve">PharmOutcomes uses </w:t>
      </w:r>
      <w:r w:rsidR="00862156">
        <w:t>Personal Demographic Service (PDS) – much quicker to input pat</w:t>
      </w:r>
      <w:r w:rsidR="00EF4ACD">
        <w:t>i</w:t>
      </w:r>
      <w:r w:rsidR="00862156">
        <w:t xml:space="preserve">ent details and will also populate the GP </w:t>
      </w:r>
    </w:p>
    <w:p w14:paraId="7A8BDA73" w14:textId="44DC0627" w:rsidR="00862156" w:rsidRPr="00DB3087" w:rsidRDefault="009243F1">
      <w:r w:rsidRPr="00DB3087">
        <w:t>This</w:t>
      </w:r>
      <w:r w:rsidR="00862156" w:rsidRPr="00DB3087">
        <w:t xml:space="preserve"> will </w:t>
      </w:r>
      <w:r w:rsidR="00DB3087" w:rsidRPr="00DB3087">
        <w:t xml:space="preserve">highlight </w:t>
      </w:r>
      <w:r w:rsidR="00862156" w:rsidRPr="00DB3087">
        <w:t xml:space="preserve">any children that are registered with a GP out of area – areas involved are Lambeth, Southwark, Lewisham, Bexley, </w:t>
      </w:r>
      <w:r w:rsidRPr="00DB3087">
        <w:t>Bromley,</w:t>
      </w:r>
      <w:r w:rsidR="00862156" w:rsidRPr="00DB3087">
        <w:t xml:space="preserve"> and Greenwich</w:t>
      </w:r>
      <w:r w:rsidR="002B75B5">
        <w:t>.</w:t>
      </w:r>
    </w:p>
    <w:p w14:paraId="1D258221" w14:textId="2213CB82" w:rsidR="009243F1" w:rsidRPr="00DB3087" w:rsidRDefault="009243F1">
      <w:r w:rsidRPr="00DB3087">
        <w:t>Children registered with a GP outside this area if doesn’t meet the criteria will be referred direct to the HES Orthoptists.  (This is anticipated to be a low number)</w:t>
      </w:r>
    </w:p>
    <w:p w14:paraId="29C1B1AF" w14:textId="2F256201" w:rsidR="00EF4ACD" w:rsidRDefault="009243F1">
      <w:r>
        <w:t>This is what the</w:t>
      </w:r>
      <w:r w:rsidR="009503FC">
        <w:t xml:space="preserve"> registration</w:t>
      </w:r>
      <w:r>
        <w:t xml:space="preserve"> page will look like</w:t>
      </w:r>
      <w:r w:rsidR="00CD5A9E">
        <w:t xml:space="preserve"> along with the info off the HCP on VA and any other relevant info they may wish to add</w:t>
      </w:r>
      <w:r w:rsidR="00EF4ACD">
        <w:t>.</w:t>
      </w:r>
    </w:p>
    <w:p w14:paraId="1AF04A8E" w14:textId="0F68F305" w:rsidR="00EF4ACD" w:rsidRDefault="00EF4ACD"/>
    <w:p w14:paraId="483FBA97" w14:textId="4FE62066" w:rsidR="00EF4ACD" w:rsidRDefault="00EF4ACD"/>
    <w:p w14:paraId="4A75D853" w14:textId="25F8B7E1" w:rsidR="00EF4ACD" w:rsidRDefault="00EF4ACD"/>
    <w:p w14:paraId="51B2F067" w14:textId="77777777" w:rsidR="00EF4ACD" w:rsidRDefault="00EF4ACD"/>
    <w:p w14:paraId="50734F31" w14:textId="72B1D80D" w:rsidR="00027BC4" w:rsidRDefault="00027BC4"/>
    <w:p w14:paraId="0ABB9F5A" w14:textId="77777777" w:rsidR="00027BC4" w:rsidRPr="00027BC4" w:rsidRDefault="00027BC4" w:rsidP="00027BC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contextualSpacing w:val="0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  <w:r w:rsidRPr="00027BC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Input of details by screener</w:t>
      </w:r>
    </w:p>
    <w:p w14:paraId="2BBA4EFA" w14:textId="3EE9C8F5" w:rsidR="00027BC4" w:rsidRDefault="00027BC4" w:rsidP="00027BC4"/>
    <w:p w14:paraId="051012A3" w14:textId="03A424F9" w:rsidR="00CD5A9E" w:rsidRDefault="00CD5A9E">
      <w:r>
        <w:rPr>
          <w:noProof/>
        </w:rPr>
        <w:drawing>
          <wp:inline distT="0" distB="0" distL="0" distR="0" wp14:anchorId="5D943F11" wp14:editId="15913A5C">
            <wp:extent cx="5895975" cy="65380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2734" cy="6578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04518" w14:textId="1DAEC1EF" w:rsidR="00D66F3B" w:rsidRDefault="00027BC4">
      <w:r w:rsidRPr="00027BC4">
        <w:t>This information will then lead into the module for POS</w:t>
      </w:r>
    </w:p>
    <w:p w14:paraId="7587DB17" w14:textId="29ECC43B" w:rsidR="00027BC4" w:rsidRPr="00206AA3" w:rsidRDefault="00A251A1" w:rsidP="00206AA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2)</w:t>
      </w:r>
      <w:r w:rsidR="00027BC4" w:rsidRPr="00206AA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 Referral module for POS admin team to allocate to practice</w:t>
      </w:r>
    </w:p>
    <w:p w14:paraId="2EA3A9A3" w14:textId="77777777" w:rsidR="00E42D86" w:rsidRDefault="00E42D86"/>
    <w:p w14:paraId="1FAA9039" w14:textId="385EF9D8" w:rsidR="003E452F" w:rsidRPr="00DB3087" w:rsidRDefault="003E452F">
      <w:r w:rsidRPr="00DB3087">
        <w:t xml:space="preserve">The details will be </w:t>
      </w:r>
      <w:r w:rsidR="00DB3087" w:rsidRPr="00DB3087">
        <w:t>accessed by POS within Pharmoutcomes.</w:t>
      </w:r>
    </w:p>
    <w:p w14:paraId="1B562AE7" w14:textId="482D9F26" w:rsidR="003E452F" w:rsidRDefault="003E452F">
      <w:r w:rsidRPr="00DB3087">
        <w:lastRenderedPageBreak/>
        <w:t xml:space="preserve">POS will contact the patient and explain the service and px </w:t>
      </w:r>
      <w:r w:rsidR="004275E3">
        <w:t>will choose a practice</w:t>
      </w:r>
      <w:r w:rsidR="00027BC4">
        <w:t xml:space="preserve">.  POS will be able to track the progress of </w:t>
      </w:r>
      <w:r w:rsidR="00220777">
        <w:t>patients</w:t>
      </w:r>
      <w:r w:rsidR="00027BC4">
        <w:t xml:space="preserve"> </w:t>
      </w:r>
      <w:r w:rsidR="00220777">
        <w:t>throughout</w:t>
      </w:r>
      <w:r w:rsidR="00027BC4">
        <w:t xml:space="preserve"> the service using a specialist report PharmOutcomes will build.</w:t>
      </w:r>
    </w:p>
    <w:p w14:paraId="2D170310" w14:textId="5408C638" w:rsidR="00220777" w:rsidRPr="00206AA3" w:rsidRDefault="00A251A1" w:rsidP="00206AA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  <w:r w:rsidRPr="00206AA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3)</w:t>
      </w:r>
      <w:r w:rsidR="00220777" w:rsidRPr="00206AA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 Acceptance or rejection by practice</w:t>
      </w:r>
    </w:p>
    <w:p w14:paraId="21063302" w14:textId="042AF68F" w:rsidR="00220777" w:rsidRDefault="00220777" w:rsidP="00220777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en-GB"/>
        </w:rPr>
      </w:pPr>
    </w:p>
    <w:p w14:paraId="7F4191C7" w14:textId="4721512C" w:rsidR="00220777" w:rsidRDefault="00220777" w:rsidP="00206A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The referral is then received by the practice (via a platform on PharmOutcomes)</w:t>
      </w:r>
      <w:r w:rsidR="00E42D86">
        <w:rPr>
          <w:rFonts w:ascii="Calibri" w:eastAsia="Times New Roman" w:hAnsi="Calibri" w:cs="Calibri"/>
          <w:color w:val="000000"/>
          <w:lang w:eastAsia="en-GB"/>
        </w:rPr>
        <w:t>, hopefully accepted</w:t>
      </w:r>
      <w:r>
        <w:rPr>
          <w:rFonts w:ascii="Calibri" w:eastAsia="Times New Roman" w:hAnsi="Calibri" w:cs="Calibri"/>
          <w:color w:val="000000"/>
          <w:lang w:eastAsia="en-GB"/>
        </w:rPr>
        <w:t xml:space="preserve"> and the patient is contacted to arrange an appointment</w:t>
      </w:r>
      <w:r w:rsidR="005270BA">
        <w:rPr>
          <w:rFonts w:ascii="Calibri" w:eastAsia="Times New Roman" w:hAnsi="Calibri" w:cs="Calibri"/>
          <w:color w:val="000000"/>
          <w:lang w:eastAsia="en-GB"/>
        </w:rPr>
        <w:t xml:space="preserve"> preferably within 4 weeks subject to patient availability</w:t>
      </w:r>
      <w:r>
        <w:rPr>
          <w:rFonts w:ascii="Calibri" w:eastAsia="Times New Roman" w:hAnsi="Calibri" w:cs="Calibri"/>
          <w:color w:val="000000"/>
          <w:lang w:eastAsia="en-GB"/>
        </w:rPr>
        <w:t>.</w:t>
      </w:r>
    </w:p>
    <w:p w14:paraId="26EEF5F8" w14:textId="77777777" w:rsidR="00E42D86" w:rsidRDefault="00E42D86" w:rsidP="00220777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en-GB"/>
        </w:rPr>
      </w:pPr>
    </w:p>
    <w:p w14:paraId="5D3BE183" w14:textId="0E0D3B9C" w:rsidR="00220777" w:rsidRDefault="00220777" w:rsidP="00206A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The practice can log all </w:t>
      </w:r>
      <w:r w:rsidR="00F005D9">
        <w:rPr>
          <w:rFonts w:ascii="Calibri" w:eastAsia="Times New Roman" w:hAnsi="Calibri" w:cs="Calibri"/>
          <w:color w:val="000000"/>
          <w:lang w:eastAsia="en-GB"/>
        </w:rPr>
        <w:t>attempts</w:t>
      </w:r>
      <w:r>
        <w:rPr>
          <w:rFonts w:ascii="Calibri" w:eastAsia="Times New Roman" w:hAnsi="Calibri" w:cs="Calibri"/>
          <w:color w:val="000000"/>
          <w:lang w:eastAsia="en-GB"/>
        </w:rPr>
        <w:t xml:space="preserve"> made to contact the patient – however if they continue to fail, PharmOut</w:t>
      </w:r>
      <w:r w:rsidR="002B75B5">
        <w:rPr>
          <w:rFonts w:ascii="Calibri" w:eastAsia="Times New Roman" w:hAnsi="Calibri" w:cs="Calibri"/>
          <w:color w:val="000000"/>
          <w:lang w:eastAsia="en-GB"/>
        </w:rPr>
        <w:t>co</w:t>
      </w:r>
      <w:r>
        <w:rPr>
          <w:rFonts w:ascii="Calibri" w:eastAsia="Times New Roman" w:hAnsi="Calibri" w:cs="Calibri"/>
          <w:color w:val="000000"/>
          <w:lang w:eastAsia="en-GB"/>
        </w:rPr>
        <w:t>mes will record this and as part of failsafe the referral will go back to POS</w:t>
      </w:r>
      <w:r w:rsidR="00F005D9">
        <w:rPr>
          <w:rFonts w:ascii="Calibri" w:eastAsia="Times New Roman" w:hAnsi="Calibri" w:cs="Calibri"/>
          <w:color w:val="000000"/>
          <w:lang w:eastAsia="en-GB"/>
        </w:rPr>
        <w:t>.</w:t>
      </w:r>
    </w:p>
    <w:p w14:paraId="5E7F26D2" w14:textId="4F013B7A" w:rsidR="00220777" w:rsidRDefault="00220777" w:rsidP="00220777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en-GB"/>
        </w:rPr>
      </w:pPr>
    </w:p>
    <w:p w14:paraId="7D539474" w14:textId="5BAC7961" w:rsidR="00220777" w:rsidRDefault="00220777" w:rsidP="00220777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en-GB"/>
        </w:rPr>
      </w:pPr>
      <w:r>
        <w:rPr>
          <w:noProof/>
        </w:rPr>
        <w:drawing>
          <wp:inline distT="0" distB="0" distL="0" distR="0" wp14:anchorId="7D4DFE67" wp14:editId="63B7555C">
            <wp:extent cx="5731510" cy="2767330"/>
            <wp:effectExtent l="0" t="0" r="2540" b="0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6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96951" w14:textId="1E09EB32" w:rsidR="00F005D9" w:rsidRDefault="00F005D9" w:rsidP="00220777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en-GB"/>
        </w:rPr>
      </w:pPr>
    </w:p>
    <w:p w14:paraId="7D909B6E" w14:textId="24B9565B" w:rsidR="00F005D9" w:rsidRDefault="00F005D9" w:rsidP="00206A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Once contact has been made and an appointment has been made the parent/carer can also be emailed further advice about the appointment and what to expect. (At end)</w:t>
      </w:r>
    </w:p>
    <w:p w14:paraId="75329F79" w14:textId="321CCA90" w:rsidR="00F005D9" w:rsidRDefault="00F005D9" w:rsidP="00220777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en-GB"/>
        </w:rPr>
      </w:pPr>
    </w:p>
    <w:p w14:paraId="1593B57B" w14:textId="77777777" w:rsidR="00F005D9" w:rsidRDefault="00F005D9" w:rsidP="00220777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en-GB"/>
        </w:rPr>
      </w:pPr>
    </w:p>
    <w:p w14:paraId="009B7EE2" w14:textId="685F5195" w:rsidR="00F005D9" w:rsidRDefault="00F005D9" w:rsidP="00220777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en-GB"/>
        </w:rPr>
      </w:pPr>
    </w:p>
    <w:p w14:paraId="46C8D11F" w14:textId="51F5EEFF" w:rsidR="00A75EFD" w:rsidRPr="00206AA3" w:rsidRDefault="00A251A1" w:rsidP="00206AA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4)</w:t>
      </w:r>
      <w:r w:rsidR="00F005D9" w:rsidRPr="00206AA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 1</w:t>
      </w:r>
      <w:r w:rsidR="00F005D9" w:rsidRPr="00206AA3">
        <w:rPr>
          <w:rFonts w:ascii="Calibri" w:eastAsia="Times New Roman" w:hAnsi="Calibri" w:cs="Calibri"/>
          <w:b/>
          <w:bCs/>
          <w:color w:val="000000"/>
          <w:sz w:val="28"/>
          <w:szCs w:val="28"/>
          <w:vertAlign w:val="superscript"/>
          <w:lang w:eastAsia="en-GB"/>
        </w:rPr>
        <w:t>st</w:t>
      </w:r>
      <w:r w:rsidR="00F005D9" w:rsidRPr="00206AA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 appointment</w:t>
      </w:r>
      <w:r w:rsidR="00EF4AC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 with community optometrist</w:t>
      </w:r>
    </w:p>
    <w:p w14:paraId="4F2E81DE" w14:textId="77777777" w:rsidR="00F005D9" w:rsidRPr="00F005D9" w:rsidRDefault="00F005D9" w:rsidP="00F005D9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</w:p>
    <w:p w14:paraId="4FD440E2" w14:textId="2531EFEA" w:rsidR="00A75EFD" w:rsidRPr="003253B5" w:rsidRDefault="002F45F2">
      <w:pPr>
        <w:rPr>
          <w:b/>
          <w:bCs/>
          <w:u w:val="single"/>
        </w:rPr>
      </w:pPr>
      <w:r w:rsidRPr="003253B5">
        <w:rPr>
          <w:b/>
          <w:bCs/>
          <w:u w:val="single"/>
        </w:rPr>
        <w:t>Paediatric</w:t>
      </w:r>
      <w:r w:rsidR="00A75EFD" w:rsidRPr="003253B5">
        <w:rPr>
          <w:b/>
          <w:bCs/>
          <w:u w:val="single"/>
        </w:rPr>
        <w:t xml:space="preserve"> Eye Examination with Optometrist</w:t>
      </w:r>
    </w:p>
    <w:p w14:paraId="05AE21AA" w14:textId="69211EB8" w:rsidR="003E452F" w:rsidRDefault="00A75EFD">
      <w:r>
        <w:t xml:space="preserve">The form has been designed that if the </w:t>
      </w:r>
      <w:r w:rsidR="003253B5">
        <w:t>Optometrist</w:t>
      </w:r>
      <w:r>
        <w:t xml:space="preserve"> wishes to use this form as their GOS claim they can – however if they choose not to, they </w:t>
      </w:r>
      <w:r w:rsidR="002F45F2">
        <w:t>must</w:t>
      </w:r>
      <w:r>
        <w:t xml:space="preserve"> complete the mandatory fields which will provide the </w:t>
      </w:r>
      <w:r w:rsidR="002F45F2">
        <w:t>requested audit data.</w:t>
      </w:r>
    </w:p>
    <w:p w14:paraId="7FA94D9A" w14:textId="7A57D308" w:rsidR="002F45F2" w:rsidRDefault="00F005D9">
      <w:r>
        <w:t>All the info is within this part and all the possible outcomes.</w:t>
      </w:r>
    </w:p>
    <w:p w14:paraId="7CD5949A" w14:textId="6CDAEE0B" w:rsidR="002F45F2" w:rsidRDefault="002F45F2">
      <w:r>
        <w:t>At top of the exam the info taken by the HCP will be pulled across:</w:t>
      </w:r>
    </w:p>
    <w:p w14:paraId="25EB1E00" w14:textId="13DD7647" w:rsidR="002F45F2" w:rsidRDefault="002F45F2">
      <w:r>
        <w:rPr>
          <w:noProof/>
        </w:rPr>
        <w:lastRenderedPageBreak/>
        <w:drawing>
          <wp:inline distT="0" distB="0" distL="0" distR="0" wp14:anchorId="19CA6961" wp14:editId="26047B40">
            <wp:extent cx="4991100" cy="1003639"/>
            <wp:effectExtent l="0" t="0" r="0" b="6350"/>
            <wp:docPr id="6" name="Picture 6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, box and whisker char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03258" cy="1006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F42FB" w14:textId="1D47838F" w:rsidR="002F45F2" w:rsidRDefault="002F45F2"/>
    <w:p w14:paraId="12D57EEE" w14:textId="77777777" w:rsidR="00F005D9" w:rsidRDefault="00F005D9">
      <w:pPr>
        <w:rPr>
          <w:b/>
          <w:bCs/>
        </w:rPr>
      </w:pPr>
    </w:p>
    <w:p w14:paraId="153BE895" w14:textId="77777777" w:rsidR="00F005D9" w:rsidRDefault="00F005D9">
      <w:pPr>
        <w:rPr>
          <w:b/>
          <w:bCs/>
        </w:rPr>
      </w:pPr>
    </w:p>
    <w:p w14:paraId="5B8EC5C3" w14:textId="2373316D" w:rsidR="002F45F2" w:rsidRPr="00CF7431" w:rsidRDefault="002F45F2">
      <w:pPr>
        <w:rPr>
          <w:b/>
          <w:bCs/>
        </w:rPr>
      </w:pPr>
      <w:r w:rsidRPr="00CF7431">
        <w:rPr>
          <w:b/>
          <w:bCs/>
        </w:rPr>
        <w:t>Patient History:</w:t>
      </w:r>
    </w:p>
    <w:p w14:paraId="1E6F5E36" w14:textId="7F5776AE" w:rsidR="002F45F2" w:rsidRDefault="002F45F2">
      <w:r>
        <w:t>Optom</w:t>
      </w:r>
      <w:r w:rsidR="00D66F3B">
        <w:t>etrists</w:t>
      </w:r>
      <w:r>
        <w:t xml:space="preserve"> are expected to include any relevant GH/Meds/Ocular HX that may be beneficial to any onward referral – additional info such as birth info (premature </w:t>
      </w:r>
      <w:r w:rsidR="002F2F4A">
        <w:t>etc) would</w:t>
      </w:r>
      <w:r>
        <w:t xml:space="preserve"> be helpful</w:t>
      </w:r>
      <w:r w:rsidR="002F2F4A">
        <w:t xml:space="preserve">.  This can be used to generate any onward referral </w:t>
      </w:r>
      <w:r w:rsidR="00CF7431">
        <w:t>and</w:t>
      </w:r>
      <w:r w:rsidR="002F2F4A">
        <w:t xml:space="preserve"> to notify the GP of the outcomes.</w:t>
      </w:r>
    </w:p>
    <w:p w14:paraId="59518845" w14:textId="1C21114C" w:rsidR="002F45F2" w:rsidRDefault="002F45F2">
      <w:r>
        <w:t>There is a separate mandatory box about Squint/Amblyopia</w:t>
      </w:r>
    </w:p>
    <w:p w14:paraId="4A00BFC7" w14:textId="07B30F96" w:rsidR="002F45F2" w:rsidRDefault="002F45F2">
      <w:r>
        <w:rPr>
          <w:noProof/>
        </w:rPr>
        <w:drawing>
          <wp:inline distT="0" distB="0" distL="0" distR="0" wp14:anchorId="7D8409B4" wp14:editId="7AB5F94C">
            <wp:extent cx="4343400" cy="1825729"/>
            <wp:effectExtent l="0" t="0" r="0" b="3175"/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47464" cy="1827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5D92D" w14:textId="20AF4A59" w:rsidR="002F45F2" w:rsidRPr="00206AA3" w:rsidRDefault="002F45F2">
      <w:pPr>
        <w:rPr>
          <w:b/>
          <w:bCs/>
        </w:rPr>
      </w:pPr>
      <w:r w:rsidRPr="00206AA3">
        <w:rPr>
          <w:b/>
          <w:bCs/>
        </w:rPr>
        <w:t xml:space="preserve">Anything in bold </w:t>
      </w:r>
      <w:r w:rsidR="00EF4ACD">
        <w:rPr>
          <w:b/>
          <w:bCs/>
        </w:rPr>
        <w:t xml:space="preserve">on Pharmoutcomes </w:t>
      </w:r>
      <w:r w:rsidRPr="00206AA3">
        <w:rPr>
          <w:b/>
          <w:bCs/>
        </w:rPr>
        <w:t>is mandatory:</w:t>
      </w:r>
    </w:p>
    <w:p w14:paraId="0CEF2C7E" w14:textId="0B05A3A3" w:rsidR="002F45F2" w:rsidRDefault="002F45F2">
      <w:r>
        <w:rPr>
          <w:noProof/>
        </w:rPr>
        <w:lastRenderedPageBreak/>
        <w:drawing>
          <wp:inline distT="0" distB="0" distL="0" distR="0" wp14:anchorId="127D871D" wp14:editId="228998AD">
            <wp:extent cx="3946725" cy="3922237"/>
            <wp:effectExtent l="0" t="0" r="0" b="2540"/>
            <wp:docPr id="8" name="Picture 8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able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60282" cy="393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34D59" w14:textId="4FA3046E" w:rsidR="002F45F2" w:rsidRDefault="002F45F2"/>
    <w:p w14:paraId="3BEDCE99" w14:textId="2824B949" w:rsidR="002F45F2" w:rsidRDefault="002F45F2">
      <w:r>
        <w:rPr>
          <w:noProof/>
        </w:rPr>
        <w:lastRenderedPageBreak/>
        <w:drawing>
          <wp:inline distT="0" distB="0" distL="0" distR="0" wp14:anchorId="428DB433" wp14:editId="5146E750">
            <wp:extent cx="5591175" cy="7543800"/>
            <wp:effectExtent l="0" t="0" r="9525" b="0"/>
            <wp:docPr id="9" name="Picture 9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&#10;&#10;Description automatically generated with medium confidenc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4FB77" w14:textId="6AA37778" w:rsidR="002F45F2" w:rsidRDefault="002F45F2">
      <w:r>
        <w:rPr>
          <w:noProof/>
        </w:rPr>
        <w:lastRenderedPageBreak/>
        <w:drawing>
          <wp:inline distT="0" distB="0" distL="0" distR="0" wp14:anchorId="4A8EA8B6" wp14:editId="5DEB3A89">
            <wp:extent cx="5476875" cy="5753100"/>
            <wp:effectExtent l="0" t="0" r="9525" b="0"/>
            <wp:docPr id="10" name="Picture 1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iagram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B330D" w14:textId="4052483F" w:rsidR="00D66F3B" w:rsidRDefault="00D66F3B"/>
    <w:p w14:paraId="2FAA8084" w14:textId="5C31253B" w:rsidR="00D66F3B" w:rsidRDefault="00D66F3B">
      <w:r>
        <w:t>All children are to be cyclo’d unless there is a mitigating circumstance – if not dilated you may not be paid.</w:t>
      </w:r>
      <w:r w:rsidR="00F005D9">
        <w:t xml:space="preserve">  If on a quick ret you believe a child to be myopic, they still must be dilated.</w:t>
      </w:r>
    </w:p>
    <w:p w14:paraId="1CF86220" w14:textId="646E3FDE" w:rsidR="002F45F2" w:rsidRDefault="002F45F2">
      <w:r>
        <w:rPr>
          <w:noProof/>
        </w:rPr>
        <w:lastRenderedPageBreak/>
        <w:drawing>
          <wp:inline distT="0" distB="0" distL="0" distR="0" wp14:anchorId="6A714B27" wp14:editId="175D02EB">
            <wp:extent cx="5019675" cy="3467100"/>
            <wp:effectExtent l="0" t="0" r="9525" b="0"/>
            <wp:docPr id="11" name="Picture 1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application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1182E" w14:textId="44D490E8" w:rsidR="00F005D9" w:rsidRDefault="00F005D9">
      <w:r>
        <w:t>At this point you can save and return to the patient post dilation.</w:t>
      </w:r>
    </w:p>
    <w:p w14:paraId="5D463D1D" w14:textId="77777777" w:rsidR="00D66F3B" w:rsidRDefault="00D66F3B"/>
    <w:p w14:paraId="19F71D51" w14:textId="29C7F983" w:rsidR="002F45F2" w:rsidRDefault="002F45F2">
      <w:r>
        <w:rPr>
          <w:noProof/>
        </w:rPr>
        <w:drawing>
          <wp:inline distT="0" distB="0" distL="0" distR="0" wp14:anchorId="00FD0618" wp14:editId="6BB87987">
            <wp:extent cx="5731510" cy="2980690"/>
            <wp:effectExtent l="0" t="0" r="2540" b="0"/>
            <wp:docPr id="12" name="Picture 1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application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8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BD946" w14:textId="22E8E316" w:rsidR="00F005D9" w:rsidRDefault="00F005D9">
      <w:r>
        <w:t xml:space="preserve">Once the Optom has </w:t>
      </w:r>
      <w:r w:rsidR="00150356">
        <w:t xml:space="preserve">established any prescription to be prescribed and the VA, they can use the </w:t>
      </w:r>
      <w:r w:rsidR="002B75B5">
        <w:t>decision-making</w:t>
      </w:r>
      <w:r w:rsidR="00150356">
        <w:t xml:space="preserve"> tool kit to guide them on the next steps:</w:t>
      </w:r>
    </w:p>
    <w:p w14:paraId="2271E3B1" w14:textId="5EC97F64" w:rsidR="002F2F4A" w:rsidRDefault="002F45F2">
      <w:r>
        <w:rPr>
          <w:noProof/>
        </w:rPr>
        <w:lastRenderedPageBreak/>
        <w:drawing>
          <wp:inline distT="0" distB="0" distL="0" distR="0" wp14:anchorId="6159FCC7" wp14:editId="7C2252DA">
            <wp:extent cx="4151727" cy="3238500"/>
            <wp:effectExtent l="0" t="0" r="1270" b="0"/>
            <wp:docPr id="13" name="Picture 1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text, application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158536" cy="3243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30C27" w14:textId="5F15B3B8" w:rsidR="002F45F2" w:rsidRDefault="002F45F2">
      <w:r>
        <w:rPr>
          <w:noProof/>
        </w:rPr>
        <w:drawing>
          <wp:inline distT="0" distB="0" distL="0" distR="0" wp14:anchorId="029D05C4" wp14:editId="4CF7D21E">
            <wp:extent cx="3770441" cy="5180965"/>
            <wp:effectExtent l="0" t="0" r="1905" b="635"/>
            <wp:docPr id="14" name="Picture 1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text, application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82910" cy="519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C75EE" w14:textId="75F899DB" w:rsidR="002F2F4A" w:rsidRPr="007726E1" w:rsidRDefault="002F2F4A" w:rsidP="00206AA3">
      <w:pPr>
        <w:pStyle w:val="ListParagraph"/>
        <w:numPr>
          <w:ilvl w:val="0"/>
          <w:numId w:val="8"/>
        </w:numPr>
      </w:pPr>
      <w:r w:rsidRPr="007726E1">
        <w:lastRenderedPageBreak/>
        <w:t xml:space="preserve">At this point if a referral is required it can be generated </w:t>
      </w:r>
      <w:r w:rsidR="00223714" w:rsidRPr="007726E1">
        <w:t>and a notification will be sent to the GP.</w:t>
      </w:r>
    </w:p>
    <w:p w14:paraId="264D241E" w14:textId="08E880DA" w:rsidR="002B75B5" w:rsidRPr="007726E1" w:rsidRDefault="00195DC4" w:rsidP="00206AA3">
      <w:pPr>
        <w:pStyle w:val="ListParagraph"/>
        <w:numPr>
          <w:ilvl w:val="0"/>
          <w:numId w:val="8"/>
        </w:numPr>
      </w:pPr>
      <w:r w:rsidRPr="007726E1">
        <w:t>All onward referrals are to the HES via ERS.</w:t>
      </w:r>
    </w:p>
    <w:p w14:paraId="5EB4AD44" w14:textId="0752FCA4" w:rsidR="002B75B5" w:rsidRPr="00206AA3" w:rsidRDefault="002F2F4A" w:rsidP="00206AA3">
      <w:pPr>
        <w:pStyle w:val="ListParagraph"/>
        <w:numPr>
          <w:ilvl w:val="0"/>
          <w:numId w:val="8"/>
        </w:numPr>
      </w:pPr>
      <w:r w:rsidRPr="00206AA3">
        <w:t>Follow up appt</w:t>
      </w:r>
      <w:r w:rsidR="00DF071E" w:rsidRPr="00B41FD1">
        <w:t xml:space="preserve"> is booked</w:t>
      </w:r>
      <w:r w:rsidRPr="00206AA3">
        <w:t xml:space="preserve"> – this is for children who have VA </w:t>
      </w:r>
      <w:r w:rsidR="00DF071E" w:rsidRPr="00206AA3">
        <w:t xml:space="preserve">equal to or </w:t>
      </w:r>
      <w:r w:rsidRPr="00206AA3">
        <w:t>better than 0.5 and were prescribed spectacles.</w:t>
      </w:r>
    </w:p>
    <w:p w14:paraId="5227358B" w14:textId="4A7FCBDA" w:rsidR="002F2F4A" w:rsidRPr="00206AA3" w:rsidRDefault="00170953">
      <w:pPr>
        <w:rPr>
          <w:b/>
          <w:bCs/>
          <w:sz w:val="32"/>
          <w:szCs w:val="32"/>
        </w:rPr>
      </w:pPr>
      <w:r w:rsidRPr="00206AA3">
        <w:rPr>
          <w:b/>
          <w:bCs/>
          <w:sz w:val="32"/>
          <w:szCs w:val="32"/>
        </w:rPr>
        <w:t xml:space="preserve">5) </w:t>
      </w:r>
      <w:r w:rsidR="002F2F4A" w:rsidRPr="00206AA3">
        <w:rPr>
          <w:b/>
          <w:bCs/>
          <w:sz w:val="32"/>
          <w:szCs w:val="32"/>
        </w:rPr>
        <w:t>6 week post check via telephone:</w:t>
      </w:r>
    </w:p>
    <w:p w14:paraId="765DED87" w14:textId="50DB38FE" w:rsidR="002F2F4A" w:rsidRDefault="002F2F4A">
      <w:r>
        <w:t>This is to check the px is wearing the spectacles – if there are any issues px can be brought back to the practice sooner – spec adjustments etc</w:t>
      </w:r>
    </w:p>
    <w:p w14:paraId="052653B9" w14:textId="35D1888F" w:rsidR="00CD5A9E" w:rsidRDefault="00CD5A9E">
      <w:r>
        <w:rPr>
          <w:noProof/>
        </w:rPr>
        <w:drawing>
          <wp:inline distT="0" distB="0" distL="0" distR="0" wp14:anchorId="4270A42D" wp14:editId="04A29B84">
            <wp:extent cx="5731510" cy="5474970"/>
            <wp:effectExtent l="0" t="0" r="2540" b="0"/>
            <wp:docPr id="16" name="Picture 1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text, application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7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D2B7D" w14:textId="22EA1FDF" w:rsidR="002F2F4A" w:rsidRDefault="002F2F4A"/>
    <w:p w14:paraId="4F4CD7E2" w14:textId="77777777" w:rsidR="00CF7431" w:rsidRDefault="00CF7431"/>
    <w:p w14:paraId="538E0043" w14:textId="133DDA4E" w:rsidR="00CF7431" w:rsidRDefault="00CF7431"/>
    <w:p w14:paraId="46ECA6D2" w14:textId="77777777" w:rsidR="002B75B5" w:rsidRDefault="002B75B5"/>
    <w:p w14:paraId="4A331971" w14:textId="77777777" w:rsidR="00CF7431" w:rsidRDefault="00CF7431"/>
    <w:p w14:paraId="0AD5701A" w14:textId="40F8714A" w:rsidR="002F2F4A" w:rsidRPr="00206AA3" w:rsidRDefault="008B41A9" w:rsidP="00206AA3">
      <w:pPr>
        <w:ind w:left="360"/>
        <w:rPr>
          <w:b/>
          <w:bCs/>
          <w:sz w:val="32"/>
          <w:szCs w:val="32"/>
        </w:rPr>
      </w:pPr>
      <w:r w:rsidRPr="00206AA3">
        <w:rPr>
          <w:b/>
          <w:bCs/>
          <w:sz w:val="32"/>
          <w:szCs w:val="32"/>
        </w:rPr>
        <w:lastRenderedPageBreak/>
        <w:t xml:space="preserve">6) </w:t>
      </w:r>
      <w:r w:rsidR="002B75B5" w:rsidRPr="00206AA3">
        <w:rPr>
          <w:b/>
          <w:bCs/>
          <w:sz w:val="32"/>
          <w:szCs w:val="32"/>
        </w:rPr>
        <w:t>1</w:t>
      </w:r>
      <w:r w:rsidR="002F2F4A" w:rsidRPr="00206AA3">
        <w:rPr>
          <w:b/>
          <w:bCs/>
          <w:sz w:val="32"/>
          <w:szCs w:val="32"/>
        </w:rPr>
        <w:t xml:space="preserve">2-16 week post </w:t>
      </w:r>
      <w:r w:rsidR="00CF7431" w:rsidRPr="00206AA3">
        <w:rPr>
          <w:b/>
          <w:bCs/>
          <w:sz w:val="32"/>
          <w:szCs w:val="32"/>
        </w:rPr>
        <w:t xml:space="preserve">VA </w:t>
      </w:r>
      <w:r w:rsidR="002F2F4A" w:rsidRPr="00206AA3">
        <w:rPr>
          <w:b/>
          <w:bCs/>
          <w:sz w:val="32"/>
          <w:szCs w:val="32"/>
        </w:rPr>
        <w:t>check:</w:t>
      </w:r>
    </w:p>
    <w:p w14:paraId="075FF997" w14:textId="4EA4EB12" w:rsidR="002F2F4A" w:rsidRDefault="00CD5A9E">
      <w:r>
        <w:rPr>
          <w:noProof/>
        </w:rPr>
        <w:drawing>
          <wp:inline distT="0" distB="0" distL="0" distR="0" wp14:anchorId="65276DF7" wp14:editId="66DE5071">
            <wp:extent cx="4924425" cy="3882088"/>
            <wp:effectExtent l="0" t="0" r="0" b="4445"/>
            <wp:docPr id="17" name="Picture 1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, text, application, email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928734" cy="388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AE29D" w14:textId="1334690B" w:rsidR="00CD5A9E" w:rsidRDefault="00CD5A9E"/>
    <w:p w14:paraId="44A611E0" w14:textId="77777777" w:rsidR="00CF7431" w:rsidRDefault="00CD5A9E">
      <w:r>
        <w:rPr>
          <w:noProof/>
        </w:rPr>
        <w:drawing>
          <wp:inline distT="0" distB="0" distL="0" distR="0" wp14:anchorId="385BBC3E" wp14:editId="55367FA8">
            <wp:extent cx="4507108" cy="3679190"/>
            <wp:effectExtent l="0" t="0" r="8255" b="0"/>
            <wp:docPr id="18" name="Picture 1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Graphical user interface, text, application&#10;&#10;Description automatically generated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11813" cy="368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0A25E" w14:textId="77777777" w:rsidR="002B75B5" w:rsidRDefault="002B75B5"/>
    <w:p w14:paraId="7CBF8111" w14:textId="7FC8A0E0" w:rsidR="00BD6D0A" w:rsidRDefault="00BD6D0A">
      <w:r>
        <w:lastRenderedPageBreak/>
        <w:t>If after this appt VA is improving patient will be referred into GOS</w:t>
      </w:r>
      <w:r w:rsidR="00195DC4">
        <w:t xml:space="preserve"> and no further action required.</w:t>
      </w:r>
    </w:p>
    <w:p w14:paraId="500BD80A" w14:textId="1DFDA05C" w:rsidR="00BD6D0A" w:rsidRDefault="00BD6D0A">
      <w:r>
        <w:t xml:space="preserve">If no improvement, refraction will be checked and if no </w:t>
      </w:r>
      <w:r w:rsidR="003E5FFF">
        <w:t>VA improvement px will be referred to orthoptists at HES</w:t>
      </w:r>
      <w:r w:rsidR="00CD5A9E">
        <w:t>.</w:t>
      </w:r>
    </w:p>
    <w:p w14:paraId="228528D2" w14:textId="451B0F79" w:rsidR="002F2F4A" w:rsidRDefault="00CF7431">
      <w:r>
        <w:t xml:space="preserve">If patient fails to </w:t>
      </w:r>
      <w:r w:rsidR="00DB3087">
        <w:t>attend,</w:t>
      </w:r>
      <w:r>
        <w:t xml:space="preserve"> they will be contacted to make another appt but if fail again gets sent back to PO</w:t>
      </w:r>
      <w:r w:rsidR="002B75B5">
        <w:t>S.</w:t>
      </w:r>
    </w:p>
    <w:p w14:paraId="3A2D6595" w14:textId="4C49A56D" w:rsidR="002B75B5" w:rsidRDefault="002B75B5"/>
    <w:p w14:paraId="405C2D40" w14:textId="3BDC8C80" w:rsidR="00727427" w:rsidRPr="00206AA3" w:rsidRDefault="00727427">
      <w:pPr>
        <w:rPr>
          <w:b/>
          <w:bCs/>
          <w:sz w:val="28"/>
          <w:szCs w:val="28"/>
        </w:rPr>
      </w:pPr>
      <w:r w:rsidRPr="00206AA3">
        <w:rPr>
          <w:b/>
          <w:bCs/>
          <w:sz w:val="28"/>
          <w:szCs w:val="28"/>
        </w:rPr>
        <w:t>Keeler LogMAR Visual acuity</w:t>
      </w:r>
    </w:p>
    <w:p w14:paraId="1706D821" w14:textId="5C91A581" w:rsidR="00727427" w:rsidRDefault="00727427">
      <w:r>
        <w:t xml:space="preserve">As you may have read in the above, the method used to record VA MUST be </w:t>
      </w:r>
      <w:r w:rsidR="00EE56BF">
        <w:t>Keeler Crowded LogMar acuity</w:t>
      </w:r>
      <w:r w:rsidR="00206AA3">
        <w:t>. T</w:t>
      </w:r>
      <w:r w:rsidR="00EE56BF">
        <w:t>his is in line with the national screening program and also various studies (link below) show that crowded LogMAR gives more accurate results than Kays for example.</w:t>
      </w:r>
    </w:p>
    <w:p w14:paraId="4FC63A7C" w14:textId="22A03AAF" w:rsidR="00EE56BF" w:rsidRDefault="00EE56BF">
      <w:r>
        <w:t xml:space="preserve">The Keeler LogMAR uses the letters X V O H U Y for all </w:t>
      </w:r>
      <w:r w:rsidR="004F399A">
        <w:t>screening,</w:t>
      </w:r>
      <w:r>
        <w:t xml:space="preserve"> and this is to be replicated in this service.</w:t>
      </w:r>
    </w:p>
    <w:p w14:paraId="28076592" w14:textId="087E7CEA" w:rsidR="00EE56BF" w:rsidRDefault="00EE56BF">
      <w:r>
        <w:t>You can set up Thomson test chart to do this for the PRR patients (website link below)</w:t>
      </w:r>
    </w:p>
    <w:p w14:paraId="778AE263" w14:textId="6005D5A1" w:rsidR="00EE56BF" w:rsidRDefault="00EE56BF">
      <w:r>
        <w:t xml:space="preserve">You may also use the Keeler flip charts </w:t>
      </w:r>
    </w:p>
    <w:p w14:paraId="5AE1643E" w14:textId="5F3BB50E" w:rsidR="00EE56BF" w:rsidRDefault="00EE56BF">
      <w:r>
        <w:t xml:space="preserve">If you aren’t used to recording VA with </w:t>
      </w:r>
      <w:r w:rsidR="004F399A">
        <w:t>logmar there</w:t>
      </w:r>
      <w:r>
        <w:t xml:space="preserve"> is a link below.</w:t>
      </w:r>
    </w:p>
    <w:p w14:paraId="109DC2D7" w14:textId="0A864445" w:rsidR="004F399A" w:rsidRDefault="004F399A">
      <w:r>
        <w:t xml:space="preserve">If you see a child who does not know their letters, then you need to try and record their VA as best as possible – if this required Kay’s crowded then please make sure this is recorded on the notes.  Please note VA is </w:t>
      </w:r>
      <w:r w:rsidR="007726E1">
        <w:t xml:space="preserve">an integral </w:t>
      </w:r>
      <w:r>
        <w:t>part of the audit</w:t>
      </w:r>
      <w:r w:rsidR="007726E1">
        <w:t xml:space="preserve"> and needs to be as accurate as you can get.</w:t>
      </w:r>
    </w:p>
    <w:p w14:paraId="4235B640" w14:textId="77777777" w:rsidR="00EE56BF" w:rsidRDefault="00EE56BF"/>
    <w:p w14:paraId="61EC989F" w14:textId="4F92C481" w:rsidR="00727427" w:rsidRDefault="00EE56BF">
      <w:r>
        <w:t>Useful links</w:t>
      </w:r>
    </w:p>
    <w:p w14:paraId="6028B63A" w14:textId="08E5D9FF" w:rsidR="00727427" w:rsidRDefault="00C17E93">
      <w:hyperlink r:id="rId24" w:history="1">
        <w:r w:rsidR="00727427">
          <w:rPr>
            <w:rStyle w:val="Hyperlink"/>
          </w:rPr>
          <w:t>Child vision screening - GOV.UK (www.gov.uk)</w:t>
        </w:r>
      </w:hyperlink>
    </w:p>
    <w:p w14:paraId="00A7F838" w14:textId="4C8966BF" w:rsidR="00727427" w:rsidRDefault="00C17E93">
      <w:hyperlink r:id="rId25" w:history="1">
        <w:r w:rsidR="00727427">
          <w:rPr>
            <w:rStyle w:val="Hyperlink"/>
          </w:rPr>
          <w:t>Screening competencies - GOV.UK (www.gov.uk)</w:t>
        </w:r>
      </w:hyperlink>
    </w:p>
    <w:p w14:paraId="7A492A96" w14:textId="5BF5AF2E" w:rsidR="00EE56BF" w:rsidRDefault="00EE56BF">
      <w:r>
        <w:t xml:space="preserve">Keeler logmar charts </w:t>
      </w:r>
      <w:hyperlink r:id="rId26" w:history="1">
        <w:r>
          <w:rPr>
            <w:rStyle w:val="Hyperlink"/>
          </w:rPr>
          <w:t>LogMAR Crowded test | Diagnostic, Magnification, Optical, Healthcare (keeler.co.uk)</w:t>
        </w:r>
      </w:hyperlink>
    </w:p>
    <w:p w14:paraId="02D5E3DA" w14:textId="7F415CB4" w:rsidR="00195DC4" w:rsidRDefault="00C17E93">
      <w:hyperlink r:id="rId27" w:history="1">
        <w:r w:rsidR="00AF3E8F">
          <w:rPr>
            <w:rStyle w:val="Hyperlink"/>
          </w:rPr>
          <w:t>Crowded letter and crowded picture logMAR acuity in children with amblyopia: a quantitative comparison | British Journal of Ophthalmology (bmj.com)</w:t>
        </w:r>
      </w:hyperlink>
    </w:p>
    <w:p w14:paraId="500C3A95" w14:textId="4869F9B0" w:rsidR="00AF3E8F" w:rsidRDefault="00C17E93">
      <w:hyperlink r:id="rId28" w:history="1">
        <w:r w:rsidR="007726E1">
          <w:rPr>
            <w:rStyle w:val="Hyperlink"/>
          </w:rPr>
          <w:t>Snellen and LogMAR acuity testing - The Royal College of Ophthalmologists (rcophth.ac.uk)</w:t>
        </w:r>
      </w:hyperlink>
    </w:p>
    <w:p w14:paraId="249CA616" w14:textId="74255163" w:rsidR="007726E1" w:rsidRDefault="00C17E93">
      <w:hyperlink r:id="rId29" w:history="1">
        <w:r w:rsidR="007726E1">
          <w:rPr>
            <w:rStyle w:val="Hyperlink"/>
          </w:rPr>
          <w:t>LogMAR chart - Wikipedia</w:t>
        </w:r>
      </w:hyperlink>
    </w:p>
    <w:p w14:paraId="6ADD5746" w14:textId="77777777" w:rsidR="007726E1" w:rsidRDefault="007726E1"/>
    <w:p w14:paraId="5B1D0403" w14:textId="3405C575" w:rsidR="00AE5B02" w:rsidRDefault="00727427">
      <w:r>
        <w:rPr>
          <w:noProof/>
        </w:rPr>
        <w:lastRenderedPageBreak/>
        <w:drawing>
          <wp:inline distT="0" distB="0" distL="0" distR="0" wp14:anchorId="5C74F3A4" wp14:editId="76DEFF50">
            <wp:extent cx="5731510" cy="5565140"/>
            <wp:effectExtent l="0" t="0" r="0" b="0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6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1C50A" w14:textId="2AACA677" w:rsidR="00AE5B02" w:rsidRDefault="00AE5B02"/>
    <w:sectPr w:rsidR="00AE5B02">
      <w:footerReference w:type="default" r:id="rId3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B72A3" w14:textId="77777777" w:rsidR="00C17E93" w:rsidRDefault="00C17E93" w:rsidP="003253B5">
      <w:pPr>
        <w:spacing w:after="0" w:line="240" w:lineRule="auto"/>
      </w:pPr>
      <w:r>
        <w:separator/>
      </w:r>
    </w:p>
  </w:endnote>
  <w:endnote w:type="continuationSeparator" w:id="0">
    <w:p w14:paraId="54CDF12D" w14:textId="77777777" w:rsidR="00C17E93" w:rsidRDefault="00C17E93" w:rsidP="0032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42673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FD4B44" w14:textId="5D195AC2" w:rsidR="003253B5" w:rsidRDefault="003253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C44591" w14:textId="77777777" w:rsidR="003253B5" w:rsidRDefault="003253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9A35E" w14:textId="77777777" w:rsidR="00C17E93" w:rsidRDefault="00C17E93" w:rsidP="003253B5">
      <w:pPr>
        <w:spacing w:after="0" w:line="240" w:lineRule="auto"/>
      </w:pPr>
      <w:r>
        <w:separator/>
      </w:r>
    </w:p>
  </w:footnote>
  <w:footnote w:type="continuationSeparator" w:id="0">
    <w:p w14:paraId="29ADAAB1" w14:textId="77777777" w:rsidR="00C17E93" w:rsidRDefault="00C17E93" w:rsidP="00325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18E"/>
    <w:multiLevelType w:val="multilevel"/>
    <w:tmpl w:val="B4140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E1507D"/>
    <w:multiLevelType w:val="multilevel"/>
    <w:tmpl w:val="B4140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CE0C99"/>
    <w:multiLevelType w:val="hybridMultilevel"/>
    <w:tmpl w:val="7010A2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D48B2"/>
    <w:multiLevelType w:val="hybridMultilevel"/>
    <w:tmpl w:val="D4F2CFF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62471"/>
    <w:multiLevelType w:val="hybridMultilevel"/>
    <w:tmpl w:val="CCF460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55B36"/>
    <w:multiLevelType w:val="hybridMultilevel"/>
    <w:tmpl w:val="F7040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33A52"/>
    <w:multiLevelType w:val="multilevel"/>
    <w:tmpl w:val="B4140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6D636D"/>
    <w:multiLevelType w:val="hybridMultilevel"/>
    <w:tmpl w:val="EFD673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156"/>
    <w:rsid w:val="000162E5"/>
    <w:rsid w:val="00027BC4"/>
    <w:rsid w:val="00150356"/>
    <w:rsid w:val="00170953"/>
    <w:rsid w:val="00195DC4"/>
    <w:rsid w:val="00206AA3"/>
    <w:rsid w:val="00220777"/>
    <w:rsid w:val="00223714"/>
    <w:rsid w:val="00247B7F"/>
    <w:rsid w:val="002507EB"/>
    <w:rsid w:val="00257E9A"/>
    <w:rsid w:val="0028606A"/>
    <w:rsid w:val="002B75B5"/>
    <w:rsid w:val="002F2F4A"/>
    <w:rsid w:val="002F45F2"/>
    <w:rsid w:val="003253B5"/>
    <w:rsid w:val="003E452F"/>
    <w:rsid w:val="003E5FFF"/>
    <w:rsid w:val="003F1A5E"/>
    <w:rsid w:val="004275E3"/>
    <w:rsid w:val="004F399A"/>
    <w:rsid w:val="005270BA"/>
    <w:rsid w:val="00727427"/>
    <w:rsid w:val="00754B90"/>
    <w:rsid w:val="007726E1"/>
    <w:rsid w:val="007906EC"/>
    <w:rsid w:val="007A3799"/>
    <w:rsid w:val="00862156"/>
    <w:rsid w:val="008B1A69"/>
    <w:rsid w:val="008B41A9"/>
    <w:rsid w:val="008E6000"/>
    <w:rsid w:val="008F3C97"/>
    <w:rsid w:val="009243F1"/>
    <w:rsid w:val="009503FC"/>
    <w:rsid w:val="00A053AA"/>
    <w:rsid w:val="00A251A1"/>
    <w:rsid w:val="00A75EFD"/>
    <w:rsid w:val="00AE5B02"/>
    <w:rsid w:val="00AF3E8F"/>
    <w:rsid w:val="00B41FD1"/>
    <w:rsid w:val="00BD6D0A"/>
    <w:rsid w:val="00C17E93"/>
    <w:rsid w:val="00CB4146"/>
    <w:rsid w:val="00CD5A9E"/>
    <w:rsid w:val="00CF7431"/>
    <w:rsid w:val="00D66F3B"/>
    <w:rsid w:val="00DB3087"/>
    <w:rsid w:val="00DF071E"/>
    <w:rsid w:val="00E42D86"/>
    <w:rsid w:val="00EE56BF"/>
    <w:rsid w:val="00EF495B"/>
    <w:rsid w:val="00EF4ACD"/>
    <w:rsid w:val="00F005D9"/>
    <w:rsid w:val="00F7719D"/>
    <w:rsid w:val="00FD089F"/>
    <w:rsid w:val="00FE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DA38A"/>
  <w15:docId w15:val="{EB71537F-68E6-402A-ABA4-2324650E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3B5"/>
  </w:style>
  <w:style w:type="paragraph" w:styleId="Footer">
    <w:name w:val="footer"/>
    <w:basedOn w:val="Normal"/>
    <w:link w:val="FooterChar"/>
    <w:uiPriority w:val="99"/>
    <w:unhideWhenUsed/>
    <w:rsid w:val="00325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3B5"/>
  </w:style>
  <w:style w:type="paragraph" w:styleId="ListParagraph">
    <w:name w:val="List Paragraph"/>
    <w:basedOn w:val="Normal"/>
    <w:uiPriority w:val="34"/>
    <w:qFormat/>
    <w:rsid w:val="009503FC"/>
    <w:pPr>
      <w:ind w:left="720"/>
      <w:contextualSpacing/>
    </w:pPr>
  </w:style>
  <w:style w:type="table" w:styleId="TableGrid">
    <w:name w:val="Table Grid"/>
    <w:basedOn w:val="TableNormal"/>
    <w:uiPriority w:val="39"/>
    <w:rsid w:val="00950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47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7B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7B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B7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F4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274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yperlink" Target="https://www.keeler.co.uk/logmar-crowded-test.html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yperlink" Target="https://www.gov.uk/government/publications/child-vision-screening/screening-competencies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hyperlink" Target="https://en.wikipedia.org/wiki/LogMAR_char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s://www.gov.uk/government/publications/child-vision-screening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hyperlink" Target="https://www.rcophth.ac.uk/patients/snellen-and-logmar-acuity-testing/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hyperlink" Target="https://bjo.bmj.com/content/101/4/457" TargetMode="External"/><Relationship Id="rId30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c9d33e-8924-4a38-86fa-c8704e6c2869" xsi:nil="true"/>
    <lcf76f155ced4ddcb4097134ff3c332f xmlns="1b16bb29-4054-4b66-babb-53ea28cbc76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E010882B2D048AC274B2AB3F6E594" ma:contentTypeVersion="16" ma:contentTypeDescription="Create a new document." ma:contentTypeScope="" ma:versionID="377c8529a2e65d333a0b4c299bcddc68">
  <xsd:schema xmlns:xsd="http://www.w3.org/2001/XMLSchema" xmlns:xs="http://www.w3.org/2001/XMLSchema" xmlns:p="http://schemas.microsoft.com/office/2006/metadata/properties" xmlns:ns2="fbc9d33e-8924-4a38-86fa-c8704e6c2869" xmlns:ns3="1b16bb29-4054-4b66-babb-53ea28cbc767" targetNamespace="http://schemas.microsoft.com/office/2006/metadata/properties" ma:root="true" ma:fieldsID="a213c7ce4ca58cfb6a22980b4be3abed" ns2:_="" ns3:_="">
    <xsd:import namespace="fbc9d33e-8924-4a38-86fa-c8704e6c2869"/>
    <xsd:import namespace="1b16bb29-4054-4b66-babb-53ea28cbc7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9d33e-8924-4a38-86fa-c8704e6c28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9ddef5-7fc3-4390-9e66-547897210915}" ma:internalName="TaxCatchAll" ma:showField="CatchAllData" ma:web="fbc9d33e-8924-4a38-86fa-c8704e6c28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6bb29-4054-4b66-babb-53ea28cbc7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ef620e-5ff2-4c58-a632-5f02d35f6b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CE6A3E-3333-4C45-8D63-F2A003C32D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283AD7-5896-453D-B52C-5582D0BDA3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8E141E-F9E2-4B36-9993-F93DC51353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Cashell</dc:creator>
  <cp:keywords/>
  <dc:description/>
  <cp:lastModifiedBy>Michelle Martins</cp:lastModifiedBy>
  <cp:revision>3</cp:revision>
  <dcterms:created xsi:type="dcterms:W3CDTF">2021-10-05T06:24:00Z</dcterms:created>
  <dcterms:modified xsi:type="dcterms:W3CDTF">2021-10-05T13:16:00Z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0x010100D81E010882B2D048AC274B2AB3F6E594</vt:lpwstr>
  </property>
</Properties>
</file>